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13 227 vom 19. Februar 2014</w:t>
      </w:r>
    </w:p>
    <w:p>
      <w:r>
        <w:t>BL Gerichte, 2014-02-19, DE</w:t>
      </w:r>
    </w:p>
    <w:p>
      <w:r>
        <w:rPr>
          <w:b/>
        </w:rPr>
        <w:t xml:space="preserve">Quelle: </w:t>
      </w:r>
      <w:r>
        <w:t>https://mcp.opencaselaw.ch/entscheid/bl_gerichte_810 13 227</w:t>
      </w:r>
    </w:p>
    <w:p>
      <w:r>
        <w:t>FR: BL_GERICHTE 810 13 227 du 19 février 2014</w:t>
      </w:r>
    </w:p>
    <w:p>
      <w:r>
        <w:t>IT: BL_GERICHTE 810 13 227 del 19 febbraio 2014</w:t>
      </w:r>
    </w:p>
    <w:p>
      <w:pPr>
        <w:pStyle w:val="Heading2"/>
      </w:pPr>
      <w:r>
        <w:t>Regeste</w:t>
      </w:r>
    </w:p>
    <w:p>
      <w:r>
        <w:t>Baugesuch Nr. 1059/2006 für Um- und Neubau Restaurant C. und Tierpark, Parz. X.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Frist für die Umsetzung der Verfügung des Bauinspektorates Nr. 084/12 vom 26. Oktober 2012 wird neu auf den 30. November 2014 festgelegt.</w:t>
      </w:r>
    </w:p>
    <w:p>
      <w:r>
        <w:rPr>
          <w:b/>
        </w:rPr>
        <w:t>E. 3</w:t>
      </w:r>
    </w:p>
    <w:p>
      <w:r>
        <w:t>Die Verfahrenskosten in der Höhe von Fr. 2‘200.-- werden dem Beschwerdeführer auferlegt und mit dem geleisteten Kostenvorschuss in der Höhe von Fr. 2‘200.-- verrechnet.</w:t>
      </w:r>
    </w:p>
    <w:p>
      <w:r>
        <w:rPr>
          <w:b/>
        </w:rPr>
        <w:t>E. 4</w:t>
      </w:r>
    </w:p>
    <w:p>
      <w:r>
        <w:t>Die Parteikosten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